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82743" w14:textId="7BBBDB37" w:rsidR="00702571" w:rsidRDefault="00D13138" w:rsidP="00702571">
      <w:pPr>
        <w:tabs>
          <w:tab w:val="left" w:pos="3285"/>
        </w:tabs>
        <w:spacing w:after="0"/>
        <w:jc w:val="center"/>
        <w:rPr>
          <w:color w:val="00B050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D5C610" wp14:editId="2174F8E8">
            <wp:simplePos x="0" y="0"/>
            <wp:positionH relativeFrom="margin">
              <wp:posOffset>5065395</wp:posOffset>
            </wp:positionH>
            <wp:positionV relativeFrom="paragraph">
              <wp:posOffset>-444500</wp:posOffset>
            </wp:positionV>
            <wp:extent cx="1391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571" w:rsidRPr="00702571">
        <w:rPr>
          <w:color w:val="00B050"/>
          <w:sz w:val="48"/>
          <w:szCs w:val="48"/>
        </w:rPr>
        <w:t>Frequently Asked Questions</w:t>
      </w:r>
    </w:p>
    <w:p w14:paraId="1896E466" w14:textId="29D99775" w:rsidR="00702571" w:rsidRPr="00870A56" w:rsidRDefault="0081176C" w:rsidP="00D96415">
      <w:pPr>
        <w:tabs>
          <w:tab w:val="left" w:pos="3285"/>
        </w:tabs>
        <w:spacing w:after="120"/>
        <w:jc w:val="center"/>
        <w:rPr>
          <w:sz w:val="40"/>
          <w:szCs w:val="40"/>
        </w:rPr>
      </w:pPr>
      <w:r w:rsidRPr="00870A56">
        <w:rPr>
          <w:sz w:val="40"/>
          <w:szCs w:val="40"/>
        </w:rPr>
        <w:t>Collaborative Team</w:t>
      </w:r>
      <w:r w:rsidR="00870A56" w:rsidRPr="00870A56">
        <w:rPr>
          <w:sz w:val="40"/>
          <w:szCs w:val="40"/>
        </w:rPr>
        <w:t>-</w:t>
      </w:r>
      <w:r w:rsidRPr="00870A56">
        <w:rPr>
          <w:sz w:val="40"/>
          <w:szCs w:val="40"/>
        </w:rPr>
        <w:t>Based Approach</w:t>
      </w:r>
    </w:p>
    <w:p w14:paraId="3C601052" w14:textId="7253520B" w:rsidR="00130D1A" w:rsidRPr="00870A56" w:rsidRDefault="00130D1A" w:rsidP="00405EF7">
      <w:pPr>
        <w:tabs>
          <w:tab w:val="left" w:pos="3285"/>
        </w:tabs>
        <w:spacing w:after="120"/>
        <w:rPr>
          <w:b/>
          <w:bCs/>
          <w:color w:val="0070C0"/>
          <w:sz w:val="28"/>
          <w:szCs w:val="28"/>
        </w:rPr>
      </w:pPr>
      <w:r w:rsidRPr="00870A56">
        <w:rPr>
          <w:b/>
          <w:bCs/>
          <w:color w:val="0070C0"/>
          <w:sz w:val="28"/>
          <w:szCs w:val="28"/>
        </w:rPr>
        <w:t>The Approach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30D1A" w:rsidRPr="006D5256" w14:paraId="495B0C53" w14:textId="77777777" w:rsidTr="0025466E">
        <w:tc>
          <w:tcPr>
            <w:tcW w:w="1525" w:type="dxa"/>
          </w:tcPr>
          <w:p w14:paraId="383E1F24" w14:textId="77777777" w:rsidR="00130D1A" w:rsidRPr="006D5256" w:rsidRDefault="00130D1A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423D6BBD" w14:textId="27BEE9C3" w:rsidR="00130D1A" w:rsidRPr="006D5256" w:rsidRDefault="00130D1A" w:rsidP="0025466E">
            <w:pPr>
              <w:tabs>
                <w:tab w:val="left" w:pos="3285"/>
              </w:tabs>
            </w:pPr>
            <w:r w:rsidRPr="00FE215F">
              <w:rPr>
                <w:color w:val="00B050"/>
              </w:rPr>
              <w:t>What is the EZ ORI?</w:t>
            </w:r>
          </w:p>
        </w:tc>
      </w:tr>
      <w:tr w:rsidR="00130D1A" w:rsidRPr="006D5256" w14:paraId="04B7E756" w14:textId="77777777" w:rsidTr="0025466E">
        <w:tc>
          <w:tcPr>
            <w:tcW w:w="1525" w:type="dxa"/>
          </w:tcPr>
          <w:p w14:paraId="44F49DC0" w14:textId="77777777" w:rsidR="00130D1A" w:rsidRPr="006D5256" w:rsidRDefault="00130D1A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7754A12B" w14:textId="6611CB98" w:rsidR="00130D1A" w:rsidRPr="006D5256" w:rsidRDefault="00FE215F" w:rsidP="0025466E">
            <w:pPr>
              <w:tabs>
                <w:tab w:val="left" w:pos="3285"/>
              </w:tabs>
            </w:pPr>
            <w:r w:rsidRPr="00870A56">
              <w:t xml:space="preserve">The </w:t>
            </w:r>
            <w:r w:rsidR="00F579B8">
              <w:t>Edmonton Zone Opioid Response Initiative (</w:t>
            </w:r>
            <w:r w:rsidRPr="00870A56">
              <w:t>EZ ORI</w:t>
            </w:r>
            <w:r w:rsidR="00F579B8">
              <w:t>)</w:t>
            </w:r>
            <w:r w:rsidRPr="00870A56">
              <w:t xml:space="preserve"> is part of a province-wide initiative called the Primary Health Care Opioid Response</w:t>
            </w:r>
            <w:r w:rsidR="00B9427E">
              <w:t xml:space="preserve"> Initiative</w:t>
            </w:r>
            <w:r w:rsidRPr="00870A56">
              <w:t>, which is a partnership between Primary Care Networks, Alberta Health Services, Alberta Health, Alberta College of Family Physicians, the Alberta Medical Association, and PEER</w:t>
            </w:r>
            <w:r w:rsidR="0063171F">
              <w:t xml:space="preserve">. </w:t>
            </w:r>
            <w:r w:rsidR="0063171F">
              <w:rPr>
                <w:lang w:val="en-CA"/>
              </w:rPr>
              <w:t>The initiative supports increased access to</w:t>
            </w:r>
            <w:r w:rsidR="0063171F" w:rsidRPr="00AB3D55">
              <w:rPr>
                <w:rFonts w:eastAsia="Times New Roman"/>
                <w:lang w:val="en-CA"/>
              </w:rPr>
              <w:t xml:space="preserve"> </w:t>
            </w:r>
            <w:r w:rsidR="0063171F">
              <w:rPr>
                <w:rFonts w:eastAsia="Times New Roman"/>
                <w:lang w:val="en-CA"/>
              </w:rPr>
              <w:t xml:space="preserve">opioid related </w:t>
            </w:r>
            <w:r w:rsidR="0063171F">
              <w:rPr>
                <w:lang w:val="en-CA"/>
              </w:rPr>
              <w:t>services and provides training for primary care providers to offer assessment, treatment, and wayfinding to patients and families affected by the opioid crisis.</w:t>
            </w:r>
          </w:p>
        </w:tc>
      </w:tr>
    </w:tbl>
    <w:p w14:paraId="017F7346" w14:textId="5992CE87" w:rsidR="00130D1A" w:rsidRDefault="00130D1A" w:rsidP="00FE215F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30D1A" w:rsidRPr="006D5256" w14:paraId="15B4DB91" w14:textId="77777777" w:rsidTr="0025466E">
        <w:tc>
          <w:tcPr>
            <w:tcW w:w="1525" w:type="dxa"/>
          </w:tcPr>
          <w:p w14:paraId="48EEE17A" w14:textId="77777777" w:rsidR="00130D1A" w:rsidRPr="006D5256" w:rsidRDefault="00130D1A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0F4CF08C" w14:textId="653F9942" w:rsidR="00130D1A" w:rsidRPr="006D5256" w:rsidRDefault="00FE215F" w:rsidP="0025466E">
            <w:pPr>
              <w:tabs>
                <w:tab w:val="left" w:pos="3285"/>
              </w:tabs>
            </w:pPr>
            <w:r w:rsidRPr="00FE215F">
              <w:rPr>
                <w:color w:val="00B050"/>
              </w:rPr>
              <w:t>What is the Collaborative-Team Based Approach?</w:t>
            </w:r>
          </w:p>
        </w:tc>
      </w:tr>
      <w:tr w:rsidR="00130D1A" w:rsidRPr="006D5256" w14:paraId="5F432BC7" w14:textId="77777777" w:rsidTr="0025466E">
        <w:tc>
          <w:tcPr>
            <w:tcW w:w="1525" w:type="dxa"/>
          </w:tcPr>
          <w:p w14:paraId="5657FFB3" w14:textId="77777777" w:rsidR="00130D1A" w:rsidRPr="006D5256" w:rsidRDefault="00130D1A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66660FFE" w14:textId="1CF528A8" w:rsidR="00FE215F" w:rsidRDefault="00FE215F" w:rsidP="00FE215F">
            <w:pPr>
              <w:tabs>
                <w:tab w:val="left" w:pos="3285"/>
              </w:tabs>
            </w:pPr>
            <w:r w:rsidRPr="00870A56">
              <w:t>With an emphasis on practice change, the Collaborative Team-Based Approach strives to enhance providers’ opioid-related knowledge and competencies by assisting primary care clinics with practice support, knowledge translation, and education.</w:t>
            </w:r>
          </w:p>
          <w:p w14:paraId="0425789F" w14:textId="77777777" w:rsidR="001C1541" w:rsidRPr="00870A56" w:rsidRDefault="001C1541" w:rsidP="00FE215F">
            <w:pPr>
              <w:tabs>
                <w:tab w:val="left" w:pos="3285"/>
              </w:tabs>
            </w:pPr>
          </w:p>
          <w:p w14:paraId="08F94E72" w14:textId="5E8A9F77" w:rsidR="00130D1A" w:rsidRPr="006D5256" w:rsidRDefault="00FE215F" w:rsidP="0025466E">
            <w:pPr>
              <w:tabs>
                <w:tab w:val="left" w:pos="3285"/>
              </w:tabs>
            </w:pPr>
            <w:r w:rsidRPr="00870A56">
              <w:rPr>
                <w:lang w:val="en-CA"/>
              </w:rPr>
              <w:t xml:space="preserve">Opioid Response Coordinators </w:t>
            </w:r>
            <w:r w:rsidR="005741AE">
              <w:rPr>
                <w:lang w:val="en-CA"/>
              </w:rPr>
              <w:t xml:space="preserve">(ORCs) </w:t>
            </w:r>
            <w:r w:rsidRPr="00870A56">
              <w:rPr>
                <w:lang w:val="en-CA"/>
              </w:rPr>
              <w:t xml:space="preserve">in each PCN work directly with clinics to identify and support provider education and practice change initiatives to increase the number of physicians prescribing, and interprofessional team members supporting, appropriate opioid-related services in the Edmonton Zone. </w:t>
            </w:r>
          </w:p>
        </w:tc>
      </w:tr>
    </w:tbl>
    <w:p w14:paraId="7009F452" w14:textId="2EF34C42" w:rsidR="00130D1A" w:rsidRDefault="00130D1A" w:rsidP="00FE215F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30D1A" w:rsidRPr="006D5256" w14:paraId="60DBF210" w14:textId="77777777" w:rsidTr="0025466E">
        <w:tc>
          <w:tcPr>
            <w:tcW w:w="1525" w:type="dxa"/>
          </w:tcPr>
          <w:p w14:paraId="7FD0D8ED" w14:textId="77777777" w:rsidR="00130D1A" w:rsidRPr="006D5256" w:rsidRDefault="00130D1A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0A1EF64F" w14:textId="489FF981" w:rsidR="00130D1A" w:rsidRPr="00FE215F" w:rsidRDefault="00FE215F" w:rsidP="0025466E">
            <w:pPr>
              <w:tabs>
                <w:tab w:val="left" w:pos="3285"/>
              </w:tabs>
              <w:rPr>
                <w:color w:val="00B050"/>
                <w:lang w:val="en-CA"/>
              </w:rPr>
            </w:pPr>
            <w:r w:rsidRPr="00FE215F">
              <w:rPr>
                <w:color w:val="00B050"/>
                <w:lang w:val="en-CA"/>
              </w:rPr>
              <w:t>What are the activities included in the Collaborative Team-Based Approach?</w:t>
            </w:r>
          </w:p>
        </w:tc>
      </w:tr>
      <w:tr w:rsidR="00130D1A" w:rsidRPr="006D5256" w14:paraId="344C4752" w14:textId="77777777" w:rsidTr="0025466E">
        <w:tc>
          <w:tcPr>
            <w:tcW w:w="1525" w:type="dxa"/>
          </w:tcPr>
          <w:p w14:paraId="70E246F2" w14:textId="77777777" w:rsidR="00130D1A" w:rsidRPr="006D5256" w:rsidRDefault="00130D1A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1C5C78AF" w14:textId="77777777" w:rsidR="00405EF7" w:rsidRDefault="007E67D3" w:rsidP="0025466E">
            <w:pPr>
              <w:tabs>
                <w:tab w:val="left" w:pos="3285"/>
              </w:tabs>
            </w:pPr>
            <w:r>
              <w:t>There are three key activities for clinics</w:t>
            </w:r>
            <w:r w:rsidR="00520FEB">
              <w:t xml:space="preserve"> that participate in the Collaborative Team-Based Approach:</w:t>
            </w:r>
          </w:p>
          <w:p w14:paraId="6892AD8D" w14:textId="77777777" w:rsidR="00520FEB" w:rsidRDefault="00520FEB" w:rsidP="00520FEB">
            <w:pPr>
              <w:numPr>
                <w:ilvl w:val="0"/>
                <w:numId w:val="7"/>
              </w:numPr>
              <w:tabs>
                <w:tab w:val="left" w:pos="3285"/>
              </w:tabs>
            </w:pPr>
            <w:r>
              <w:t>Participation in an introductory workshop</w:t>
            </w:r>
          </w:p>
          <w:p w14:paraId="3217580D" w14:textId="77777777" w:rsidR="00C12B7A" w:rsidRDefault="00C12B7A" w:rsidP="00520FEB">
            <w:pPr>
              <w:numPr>
                <w:ilvl w:val="0"/>
                <w:numId w:val="7"/>
              </w:numPr>
              <w:tabs>
                <w:tab w:val="left" w:pos="3285"/>
              </w:tabs>
            </w:pPr>
            <w:r>
              <w:t xml:space="preserve">Development of a Practice Change Plan, with the support of their Opioid Response </w:t>
            </w:r>
            <w:r w:rsidR="00F74FB3">
              <w:t>Coordinator</w:t>
            </w:r>
          </w:p>
          <w:p w14:paraId="33C8AAC6" w14:textId="2345988B" w:rsidR="00F74FB3" w:rsidRPr="006D5256" w:rsidRDefault="00F74FB3" w:rsidP="00520FEB">
            <w:pPr>
              <w:numPr>
                <w:ilvl w:val="0"/>
                <w:numId w:val="7"/>
              </w:numPr>
              <w:tabs>
                <w:tab w:val="left" w:pos="3285"/>
              </w:tabs>
            </w:pPr>
            <w:r>
              <w:t>Implementation of the Practice Change Plan</w:t>
            </w:r>
          </w:p>
        </w:tc>
      </w:tr>
    </w:tbl>
    <w:p w14:paraId="46C14715" w14:textId="77777777" w:rsidR="00130D1A" w:rsidRDefault="00130D1A" w:rsidP="00FE215F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E215F" w:rsidRPr="006D5256" w14:paraId="6C03217A" w14:textId="77777777" w:rsidTr="0025466E">
        <w:tc>
          <w:tcPr>
            <w:tcW w:w="1525" w:type="dxa"/>
          </w:tcPr>
          <w:p w14:paraId="077A288F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74729D22" w14:textId="69B25D9E" w:rsidR="00FE215F" w:rsidRPr="00FE215F" w:rsidRDefault="00FE215F" w:rsidP="00FE215F">
            <w:pPr>
              <w:rPr>
                <w:rFonts w:ascii="Century Gothic" w:eastAsia="Times New Roman" w:hAnsi="Century Gothic"/>
                <w:sz w:val="20"/>
                <w:szCs w:val="20"/>
                <w:lang w:val="en-CA"/>
              </w:rPr>
            </w:pPr>
            <w:r w:rsidRPr="00FE215F">
              <w:rPr>
                <w:color w:val="00B050"/>
                <w:lang w:val="en-CA"/>
              </w:rPr>
              <w:t>What are the desired outcomes of the Collaborative Team-Based Approach?</w:t>
            </w:r>
          </w:p>
        </w:tc>
      </w:tr>
      <w:tr w:rsidR="00FE215F" w:rsidRPr="006D5256" w14:paraId="0DC136D4" w14:textId="77777777" w:rsidTr="0025466E">
        <w:tc>
          <w:tcPr>
            <w:tcW w:w="1525" w:type="dxa"/>
          </w:tcPr>
          <w:p w14:paraId="4F283689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54C1114A" w14:textId="670BB571" w:rsidR="005D615C" w:rsidRPr="006D5256" w:rsidRDefault="00F74FB3" w:rsidP="00F74FB3">
            <w:pPr>
              <w:pStyle w:val="ListParagraph"/>
              <w:tabs>
                <w:tab w:val="left" w:pos="3285"/>
              </w:tabs>
              <w:ind w:left="0"/>
            </w:pPr>
            <w:r>
              <w:t xml:space="preserve">The primary desired outcome of </w:t>
            </w:r>
            <w:r w:rsidR="00DB4BFD">
              <w:t xml:space="preserve">the Collaborative Team-Based Approach is </w:t>
            </w:r>
            <w:r w:rsidR="00734E03">
              <w:t xml:space="preserve">to increase team </w:t>
            </w:r>
            <w:r w:rsidR="009A1393">
              <w:t>competencies</w:t>
            </w:r>
            <w:r w:rsidR="00924D04">
              <w:t xml:space="preserve"> (including physician prescribing)</w:t>
            </w:r>
            <w:r w:rsidR="009A1393">
              <w:t xml:space="preserve"> and comfort with managing opioid treatment through education and </w:t>
            </w:r>
            <w:r w:rsidR="00DB4BFD">
              <w:t xml:space="preserve">practice </w:t>
            </w:r>
            <w:r w:rsidR="00DB4BFD" w:rsidRPr="00734E03">
              <w:t>change.</w:t>
            </w:r>
          </w:p>
        </w:tc>
      </w:tr>
    </w:tbl>
    <w:p w14:paraId="0DE1FD2E" w14:textId="77777777" w:rsidR="005D615C" w:rsidRDefault="005D615C" w:rsidP="00FE215F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E215F" w:rsidRPr="006D5256" w14:paraId="05EE81C6" w14:textId="77777777" w:rsidTr="0025466E">
        <w:tc>
          <w:tcPr>
            <w:tcW w:w="1525" w:type="dxa"/>
          </w:tcPr>
          <w:p w14:paraId="24AD69B4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2BBCD2C4" w14:textId="7503E657" w:rsidR="00FE215F" w:rsidRPr="00FE215F" w:rsidRDefault="00FE215F" w:rsidP="0025466E">
            <w:pPr>
              <w:rPr>
                <w:color w:val="00B050"/>
                <w:lang w:val="en-CA"/>
              </w:rPr>
            </w:pPr>
            <w:r w:rsidRPr="00FE215F">
              <w:rPr>
                <w:color w:val="00B050"/>
                <w:lang w:val="en-CA"/>
              </w:rPr>
              <w:t xml:space="preserve">What is the </w:t>
            </w:r>
            <w:r w:rsidR="005B6BD0">
              <w:rPr>
                <w:color w:val="00B050"/>
                <w:lang w:val="en-CA"/>
              </w:rPr>
              <w:t>Opioid Response Coordinator (</w:t>
            </w:r>
            <w:r w:rsidRPr="00FE215F">
              <w:rPr>
                <w:color w:val="00B050"/>
                <w:lang w:val="en-CA"/>
              </w:rPr>
              <w:t>ORC</w:t>
            </w:r>
            <w:r w:rsidR="005B6BD0">
              <w:rPr>
                <w:color w:val="00B050"/>
                <w:lang w:val="en-CA"/>
              </w:rPr>
              <w:t>)</w:t>
            </w:r>
            <w:r w:rsidRPr="00FE215F">
              <w:rPr>
                <w:color w:val="00B050"/>
                <w:lang w:val="en-CA"/>
              </w:rPr>
              <w:t>’s role?</w:t>
            </w:r>
          </w:p>
        </w:tc>
      </w:tr>
      <w:tr w:rsidR="00FE215F" w:rsidRPr="006D5256" w14:paraId="18360F5F" w14:textId="77777777" w:rsidTr="0025466E">
        <w:tc>
          <w:tcPr>
            <w:tcW w:w="1525" w:type="dxa"/>
          </w:tcPr>
          <w:p w14:paraId="29F530DE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1C3F0023" w14:textId="4208A55C" w:rsidR="004F011A" w:rsidRDefault="00EA0071" w:rsidP="00EA0071">
            <w:pPr>
              <w:pStyle w:val="ListParagraph"/>
              <w:tabs>
                <w:tab w:val="left" w:pos="3285"/>
              </w:tabs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Each PCN has an Opioid Response Coordinator </w:t>
            </w:r>
            <w:r w:rsidR="004F011A">
              <w:rPr>
                <w:lang w:val="en-CA"/>
              </w:rPr>
              <w:t>or team</w:t>
            </w:r>
            <w:r w:rsidR="005B6BD0">
              <w:rPr>
                <w:lang w:val="en-CA"/>
              </w:rPr>
              <w:t>. The ORC</w:t>
            </w:r>
            <w:r w:rsidR="005F1E65">
              <w:rPr>
                <w:lang w:val="en-CA"/>
              </w:rPr>
              <w:t xml:space="preserve"> is an expert in the tools and resources </w:t>
            </w:r>
            <w:r w:rsidR="00FB0275">
              <w:rPr>
                <w:lang w:val="en-CA"/>
              </w:rPr>
              <w:t>available to increase knowledge related to opioid treatment and support practice change</w:t>
            </w:r>
            <w:r w:rsidR="004A699F">
              <w:rPr>
                <w:lang w:val="en-CA"/>
              </w:rPr>
              <w:t>. The ORC/team</w:t>
            </w:r>
            <w:r w:rsidR="00D10705">
              <w:rPr>
                <w:lang w:val="en-CA"/>
              </w:rPr>
              <w:t>:</w:t>
            </w:r>
          </w:p>
          <w:p w14:paraId="3EA97D15" w14:textId="60BCA26C" w:rsidR="00D10705" w:rsidRDefault="00D10705" w:rsidP="00D10705">
            <w:pPr>
              <w:pStyle w:val="ListParagraph"/>
              <w:numPr>
                <w:ilvl w:val="0"/>
                <w:numId w:val="8"/>
              </w:numPr>
              <w:tabs>
                <w:tab w:val="left" w:pos="3285"/>
              </w:tabs>
              <w:rPr>
                <w:lang w:val="en-CA"/>
              </w:rPr>
            </w:pPr>
            <w:r>
              <w:rPr>
                <w:lang w:val="en-CA"/>
              </w:rPr>
              <w:t xml:space="preserve">Delivers/facilitates the </w:t>
            </w:r>
            <w:r w:rsidR="005F1E65">
              <w:rPr>
                <w:lang w:val="en-CA"/>
              </w:rPr>
              <w:t>Collaborative Team-Based Approach workshop</w:t>
            </w:r>
            <w:r w:rsidR="004A699F">
              <w:rPr>
                <w:lang w:val="en-CA"/>
              </w:rPr>
              <w:t>;</w:t>
            </w:r>
          </w:p>
          <w:p w14:paraId="020C107C" w14:textId="24DBD05A" w:rsidR="005F1E65" w:rsidRDefault="005F1E65" w:rsidP="00D10705">
            <w:pPr>
              <w:pStyle w:val="ListParagraph"/>
              <w:numPr>
                <w:ilvl w:val="0"/>
                <w:numId w:val="8"/>
              </w:numPr>
              <w:tabs>
                <w:tab w:val="left" w:pos="3285"/>
              </w:tabs>
              <w:rPr>
                <w:lang w:val="en-CA"/>
              </w:rPr>
            </w:pPr>
            <w:r>
              <w:rPr>
                <w:lang w:val="en-CA"/>
              </w:rPr>
              <w:t>Assists clinics in the development of a Practice Change Plan</w:t>
            </w:r>
            <w:r w:rsidR="004A699F">
              <w:rPr>
                <w:lang w:val="en-CA"/>
              </w:rPr>
              <w:t>; and</w:t>
            </w:r>
          </w:p>
          <w:p w14:paraId="3E60875F" w14:textId="4BFE33DB" w:rsidR="007E67D3" w:rsidRPr="004A699F" w:rsidRDefault="005F1E65" w:rsidP="004A699F">
            <w:pPr>
              <w:pStyle w:val="ListParagraph"/>
              <w:numPr>
                <w:ilvl w:val="0"/>
                <w:numId w:val="8"/>
              </w:numPr>
              <w:tabs>
                <w:tab w:val="left" w:pos="3285"/>
              </w:tabs>
              <w:rPr>
                <w:lang w:val="en-CA"/>
              </w:rPr>
            </w:pPr>
            <w:r>
              <w:rPr>
                <w:lang w:val="en-CA"/>
              </w:rPr>
              <w:t>Supports clinics to implement the Practice Change Plan</w:t>
            </w:r>
            <w:r w:rsidR="004A699F">
              <w:rPr>
                <w:lang w:val="en-CA"/>
              </w:rPr>
              <w:t>.</w:t>
            </w:r>
          </w:p>
        </w:tc>
      </w:tr>
    </w:tbl>
    <w:p w14:paraId="12D381AE" w14:textId="52503DD2" w:rsidR="005C6CA5" w:rsidRDefault="005C6CA5" w:rsidP="00DB0425">
      <w:pPr>
        <w:tabs>
          <w:tab w:val="left" w:pos="3285"/>
        </w:tabs>
        <w:spacing w:after="0"/>
        <w:rPr>
          <w:b/>
          <w:bCs/>
          <w:u w:val="single"/>
        </w:rPr>
      </w:pPr>
    </w:p>
    <w:p w14:paraId="739C6451" w14:textId="1BF747A3" w:rsidR="00FE215F" w:rsidRPr="00F208DF" w:rsidRDefault="00FE215F" w:rsidP="005C6CA5">
      <w:pPr>
        <w:tabs>
          <w:tab w:val="left" w:pos="3285"/>
        </w:tabs>
        <w:spacing w:after="120"/>
        <w:rPr>
          <w:b/>
          <w:bCs/>
          <w:color w:val="0070C0"/>
          <w:sz w:val="28"/>
          <w:szCs w:val="28"/>
        </w:rPr>
      </w:pPr>
      <w:r w:rsidRPr="00F208DF">
        <w:rPr>
          <w:b/>
          <w:bCs/>
          <w:color w:val="0070C0"/>
          <w:sz w:val="28"/>
          <w:szCs w:val="28"/>
        </w:rPr>
        <w:t>The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E215F" w:rsidRPr="006D5256" w14:paraId="3E8A6FEE" w14:textId="77777777" w:rsidTr="0025466E">
        <w:tc>
          <w:tcPr>
            <w:tcW w:w="1525" w:type="dxa"/>
          </w:tcPr>
          <w:p w14:paraId="5FD1A54F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08BFBB8B" w14:textId="59B7C345" w:rsidR="00FE215F" w:rsidRPr="00FE215F" w:rsidRDefault="00FE215F" w:rsidP="0025466E">
            <w:pPr>
              <w:rPr>
                <w:color w:val="00B050"/>
                <w:lang w:val="en-CA"/>
              </w:rPr>
            </w:pPr>
            <w:r w:rsidRPr="00FE215F">
              <w:rPr>
                <w:color w:val="00B050"/>
                <w:lang w:val="en-CA"/>
              </w:rPr>
              <w:t xml:space="preserve">What </w:t>
            </w:r>
            <w:r>
              <w:rPr>
                <w:color w:val="00B050"/>
                <w:lang w:val="en-CA"/>
              </w:rPr>
              <w:t>does the workshop cover?</w:t>
            </w:r>
          </w:p>
        </w:tc>
      </w:tr>
      <w:tr w:rsidR="00FE215F" w:rsidRPr="006D5256" w14:paraId="4109A367" w14:textId="77777777" w:rsidTr="0025466E">
        <w:tc>
          <w:tcPr>
            <w:tcW w:w="1525" w:type="dxa"/>
          </w:tcPr>
          <w:p w14:paraId="5FF4CC49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4D4DE9A8" w14:textId="0BE6B083" w:rsidR="00F74FB3" w:rsidRPr="006D5256" w:rsidRDefault="00A538E6" w:rsidP="00C967DB">
            <w:pPr>
              <w:pStyle w:val="ListParagraph"/>
              <w:tabs>
                <w:tab w:val="left" w:pos="3285"/>
              </w:tabs>
              <w:ind w:left="0"/>
            </w:pPr>
            <w:r>
              <w:t xml:space="preserve">The Collaborative Team-Based Approach workshop provides an introduction to </w:t>
            </w:r>
            <w:r w:rsidR="00DB6310">
              <w:t>the opioid crisis and potential tools and resources to support the initiation and management of opioid treatment in primary care. It includes a process mapping exercise to help clinics understand their current state</w:t>
            </w:r>
            <w:r w:rsidR="00C967DB">
              <w:t>, and the development of an aim statement to guide the Practice Change Plan.</w:t>
            </w:r>
          </w:p>
        </w:tc>
      </w:tr>
    </w:tbl>
    <w:p w14:paraId="132A7B87" w14:textId="77777777" w:rsidR="00FE215F" w:rsidRDefault="00FE215F" w:rsidP="00FE215F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E215F" w:rsidRPr="006D5256" w14:paraId="5C04B20F" w14:textId="77777777" w:rsidTr="0025466E">
        <w:tc>
          <w:tcPr>
            <w:tcW w:w="1525" w:type="dxa"/>
          </w:tcPr>
          <w:p w14:paraId="7DCD910C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52427EBB" w14:textId="34C52085" w:rsidR="00FE215F" w:rsidRPr="00FE215F" w:rsidRDefault="00FE215F" w:rsidP="0025466E">
            <w:pPr>
              <w:rPr>
                <w:color w:val="00B050"/>
                <w:lang w:val="en-CA"/>
              </w:rPr>
            </w:pPr>
            <w:r w:rsidRPr="00FE215F">
              <w:rPr>
                <w:color w:val="00B050"/>
                <w:lang w:val="en-CA"/>
              </w:rPr>
              <w:t>Wh</w:t>
            </w:r>
            <w:r w:rsidR="00914431">
              <w:rPr>
                <w:color w:val="00B050"/>
                <w:lang w:val="en-CA"/>
              </w:rPr>
              <w:t>o</w:t>
            </w:r>
            <w:r w:rsidRPr="00FE215F">
              <w:rPr>
                <w:color w:val="00B050"/>
                <w:lang w:val="en-CA"/>
              </w:rPr>
              <w:t xml:space="preserve"> </w:t>
            </w:r>
            <w:r>
              <w:rPr>
                <w:color w:val="00B050"/>
                <w:lang w:val="en-CA"/>
              </w:rPr>
              <w:t>should attend the workshop?</w:t>
            </w:r>
          </w:p>
        </w:tc>
      </w:tr>
      <w:tr w:rsidR="00FE215F" w:rsidRPr="006D5256" w14:paraId="4ADC89B8" w14:textId="77777777" w:rsidTr="0025466E">
        <w:tc>
          <w:tcPr>
            <w:tcW w:w="1525" w:type="dxa"/>
          </w:tcPr>
          <w:p w14:paraId="3B2FD965" w14:textId="77777777" w:rsidR="00FE215F" w:rsidRPr="006D5256" w:rsidRDefault="00FE215F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35B3B968" w14:textId="3C5D25FB" w:rsidR="00FE215F" w:rsidRPr="006D5256" w:rsidRDefault="00C35C06" w:rsidP="0025466E">
            <w:pPr>
              <w:tabs>
                <w:tab w:val="left" w:pos="3285"/>
              </w:tabs>
            </w:pPr>
            <w:r w:rsidRPr="009C2443">
              <w:t xml:space="preserve">All clinic </w:t>
            </w:r>
            <w:r w:rsidR="00C967DB">
              <w:t>team members (</w:t>
            </w:r>
            <w:r w:rsidRPr="009C2443">
              <w:t>Physicians, Nurses, BHCs, Pharmacist, MOAs, Admin support staff</w:t>
            </w:r>
            <w:r w:rsidR="00C967DB">
              <w:t>) who might work with patients experiencing opioid addiction should attend the workshop</w:t>
            </w:r>
            <w:r w:rsidRPr="009C2443">
              <w:t xml:space="preserve">. </w:t>
            </w:r>
          </w:p>
        </w:tc>
      </w:tr>
    </w:tbl>
    <w:p w14:paraId="60EBE985" w14:textId="556A6BE1" w:rsidR="00130D1A" w:rsidRDefault="00130D1A" w:rsidP="00DB0425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5A2A2C4D" w14:textId="77777777" w:rsidTr="0025466E">
        <w:tc>
          <w:tcPr>
            <w:tcW w:w="1525" w:type="dxa"/>
          </w:tcPr>
          <w:p w14:paraId="71124486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lastRenderedPageBreak/>
              <w:t>Question</w:t>
            </w:r>
          </w:p>
        </w:tc>
        <w:tc>
          <w:tcPr>
            <w:tcW w:w="7825" w:type="dxa"/>
          </w:tcPr>
          <w:p w14:paraId="64DBAA89" w14:textId="756F6EBC" w:rsidR="00914431" w:rsidRPr="006D5256" w:rsidRDefault="00C967DB" w:rsidP="0025466E">
            <w:pPr>
              <w:tabs>
                <w:tab w:val="left" w:pos="3285"/>
              </w:tabs>
              <w:rPr>
                <w:color w:val="00B050"/>
              </w:rPr>
            </w:pPr>
            <w:r>
              <w:rPr>
                <w:color w:val="00B050"/>
              </w:rPr>
              <w:t>Is there</w:t>
            </w:r>
            <w:r w:rsidR="00914431" w:rsidRPr="006D5256">
              <w:rPr>
                <w:color w:val="00B050"/>
              </w:rPr>
              <w:t xml:space="preserve"> funding is available for the workshop/logistics? </w:t>
            </w:r>
          </w:p>
        </w:tc>
      </w:tr>
      <w:tr w:rsidR="00914431" w:rsidRPr="006D5256" w14:paraId="2CFA252B" w14:textId="77777777" w:rsidTr="0025466E">
        <w:tc>
          <w:tcPr>
            <w:tcW w:w="1525" w:type="dxa"/>
          </w:tcPr>
          <w:p w14:paraId="1EF25A58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5280A9AD" w14:textId="73787843" w:rsidR="00914431" w:rsidRPr="006D5256" w:rsidRDefault="00914431" w:rsidP="0025466E">
            <w:pPr>
              <w:tabs>
                <w:tab w:val="left" w:pos="3285"/>
              </w:tabs>
            </w:pPr>
            <w:r w:rsidRPr="009C2443">
              <w:t>Up to $500.00 per worksho</w:t>
            </w:r>
            <w:r w:rsidR="00C967DB">
              <w:t>p is available from the EZ ORI project</w:t>
            </w:r>
            <w:r w:rsidR="001A6E6A">
              <w:t xml:space="preserve"> funds</w:t>
            </w:r>
            <w:r w:rsidRPr="009C2443">
              <w:t xml:space="preserve">. This </w:t>
            </w:r>
            <w:r w:rsidR="001A6E6A">
              <w:t xml:space="preserve">can be used towards </w:t>
            </w:r>
            <w:r w:rsidRPr="009C2443">
              <w:t xml:space="preserve">the cost of room rental, catering, photocopying, etc. </w:t>
            </w:r>
            <w:r w:rsidR="00826C87">
              <w:t xml:space="preserve">If greater than $500 is required for larger workshops, please contact </w:t>
            </w:r>
            <w:hyperlink r:id="rId8" w:history="1">
              <w:r w:rsidR="00826C87" w:rsidRPr="002005B5">
                <w:rPr>
                  <w:rStyle w:val="Hyperlink"/>
                </w:rPr>
                <w:t>ezori@ewpcn.com</w:t>
              </w:r>
            </w:hyperlink>
            <w:r w:rsidR="00826C87">
              <w:t xml:space="preserve">. Information about how to submit </w:t>
            </w:r>
            <w:r w:rsidR="00691B6A">
              <w:t xml:space="preserve">workshop expenses for reimbursement can be found </w:t>
            </w:r>
            <w:r w:rsidR="00BD2C17">
              <w:t xml:space="preserve">in the </w:t>
            </w:r>
            <w:hyperlink r:id="rId9" w:history="1">
              <w:r w:rsidR="00BD2C17" w:rsidRPr="00C52ACC">
                <w:rPr>
                  <w:rStyle w:val="Hyperlink"/>
                </w:rPr>
                <w:t>EZ ORI Funding for CTBA Activities</w:t>
              </w:r>
            </w:hyperlink>
            <w:r w:rsidR="00BD2C17">
              <w:t xml:space="preserve"> document </w:t>
            </w:r>
            <w:r w:rsidR="00C52ACC">
              <w:t>(accessible to ORCs).</w:t>
            </w:r>
          </w:p>
        </w:tc>
      </w:tr>
    </w:tbl>
    <w:p w14:paraId="3E93A5CE" w14:textId="1CB759FB" w:rsidR="00FE215F" w:rsidRDefault="00FE215F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74FB3" w:rsidRPr="006D5256" w14:paraId="1114AD97" w14:textId="77777777" w:rsidTr="00FF12BF">
        <w:tc>
          <w:tcPr>
            <w:tcW w:w="1525" w:type="dxa"/>
          </w:tcPr>
          <w:p w14:paraId="2B55E2D1" w14:textId="77777777" w:rsidR="00F74FB3" w:rsidRPr="006D5256" w:rsidRDefault="00F74FB3" w:rsidP="00FF12BF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18EB2C71" w14:textId="77777777" w:rsidR="00F74FB3" w:rsidRPr="006D5256" w:rsidRDefault="00F74FB3" w:rsidP="00FF12BF">
            <w:pPr>
              <w:tabs>
                <w:tab w:val="left" w:pos="3285"/>
              </w:tabs>
              <w:rPr>
                <w:color w:val="00B050"/>
              </w:rPr>
            </w:pPr>
            <w:r w:rsidRPr="006D5256">
              <w:rPr>
                <w:color w:val="00B050"/>
              </w:rPr>
              <w:t>What funding is available for Physicians who attend the workshop?</w:t>
            </w:r>
          </w:p>
        </w:tc>
      </w:tr>
      <w:tr w:rsidR="00F74FB3" w:rsidRPr="009C2443" w14:paraId="4E9B2528" w14:textId="77777777" w:rsidTr="00FF12BF">
        <w:tc>
          <w:tcPr>
            <w:tcW w:w="1525" w:type="dxa"/>
          </w:tcPr>
          <w:p w14:paraId="615438B8" w14:textId="77777777" w:rsidR="00F74FB3" w:rsidRPr="009C2443" w:rsidRDefault="00F74FB3" w:rsidP="00FF12BF">
            <w:pPr>
              <w:tabs>
                <w:tab w:val="left" w:pos="3285"/>
              </w:tabs>
              <w:rPr>
                <w:b/>
                <w:bCs/>
              </w:rPr>
            </w:pPr>
            <w:r w:rsidRPr="009C2443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5B9DC4FE" w14:textId="3878342B" w:rsidR="00F74FB3" w:rsidRPr="009C2443" w:rsidRDefault="00F74FB3" w:rsidP="00FF12BF">
            <w:pPr>
              <w:tabs>
                <w:tab w:val="left" w:pos="3285"/>
              </w:tabs>
            </w:pPr>
            <w:r w:rsidRPr="009C2443">
              <w:t xml:space="preserve">Physician remuneration for the workshop is $219.43. </w:t>
            </w:r>
            <w:r w:rsidR="00C52ACC">
              <w:t xml:space="preserve">The workshop handout package includes </w:t>
            </w:r>
            <w:r w:rsidR="00D05F70">
              <w:t>an invoice that e</w:t>
            </w:r>
            <w:r w:rsidRPr="009C2443">
              <w:t xml:space="preserve">ach physician </w:t>
            </w:r>
            <w:r w:rsidR="00D05F70">
              <w:t>can</w:t>
            </w:r>
            <w:r w:rsidRPr="009C2443">
              <w:t xml:space="preserve"> complete a workshop invoice and su</w:t>
            </w:r>
            <w:r w:rsidR="00D05F70">
              <w:t xml:space="preserve">bmit to </w:t>
            </w:r>
            <w:hyperlink r:id="rId10" w:history="1">
              <w:r w:rsidR="00D05F70" w:rsidRPr="002005B5">
                <w:rPr>
                  <w:rStyle w:val="Hyperlink"/>
                </w:rPr>
                <w:t>ezori@ewpcn.com</w:t>
              </w:r>
            </w:hyperlink>
            <w:r w:rsidR="00D05F70">
              <w:t xml:space="preserve"> or to the ORC who can submit it on their behal</w:t>
            </w:r>
            <w:r w:rsidR="00BA61E8">
              <w:t>f</w:t>
            </w:r>
            <w:r w:rsidR="00D05F70">
              <w:t>.</w:t>
            </w:r>
          </w:p>
        </w:tc>
      </w:tr>
    </w:tbl>
    <w:p w14:paraId="1FDAE37D" w14:textId="5D13005E" w:rsidR="00F74FB3" w:rsidRDefault="00F74FB3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A61E8" w:rsidRPr="006D5256" w14:paraId="40C79BEA" w14:textId="77777777" w:rsidTr="00FF12BF">
        <w:tc>
          <w:tcPr>
            <w:tcW w:w="1525" w:type="dxa"/>
          </w:tcPr>
          <w:p w14:paraId="60D1153C" w14:textId="77777777" w:rsidR="00BA61E8" w:rsidRPr="006D5256" w:rsidRDefault="00BA61E8" w:rsidP="00FF12BF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50289ACD" w14:textId="77777777" w:rsidR="00BA61E8" w:rsidRPr="006D5256" w:rsidRDefault="00BA61E8" w:rsidP="00FF12BF">
            <w:pPr>
              <w:tabs>
                <w:tab w:val="left" w:pos="3285"/>
              </w:tabs>
              <w:rPr>
                <w:color w:val="0070C0"/>
              </w:rPr>
            </w:pPr>
            <w:r w:rsidRPr="006D5256">
              <w:rPr>
                <w:color w:val="00B050"/>
              </w:rPr>
              <w:t>How late can I offer the workshop?</w:t>
            </w:r>
          </w:p>
        </w:tc>
      </w:tr>
      <w:tr w:rsidR="00BA61E8" w:rsidRPr="006D5256" w14:paraId="56480108" w14:textId="77777777" w:rsidTr="00FF12BF">
        <w:tc>
          <w:tcPr>
            <w:tcW w:w="1525" w:type="dxa"/>
          </w:tcPr>
          <w:p w14:paraId="44B539FF" w14:textId="77777777" w:rsidR="00BA61E8" w:rsidRPr="006D5256" w:rsidRDefault="00BA61E8" w:rsidP="00FF12BF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210E6033" w14:textId="3C723B5B" w:rsidR="00BA61E8" w:rsidRDefault="00BA61E8" w:rsidP="00FF12BF">
            <w:pPr>
              <w:tabs>
                <w:tab w:val="left" w:pos="3285"/>
              </w:tabs>
            </w:pPr>
            <w:r w:rsidRPr="00F208DF">
              <w:t>There is no deadline as to when the workshop can be offered</w:t>
            </w:r>
            <w:r>
              <w:t>; however</w:t>
            </w:r>
            <w:r w:rsidR="00CE47A1">
              <w:t>,</w:t>
            </w:r>
            <w:r>
              <w:t xml:space="preserve"> the development and implementation of a Practice Change Plan </w:t>
            </w:r>
            <w:r w:rsidR="00A962D3">
              <w:t xml:space="preserve">will be instrumental in </w:t>
            </w:r>
            <w:r w:rsidR="00CE47A1">
              <w:t xml:space="preserve">creating sustainable change in the clinics. Thus, we encourage PCNs to </w:t>
            </w:r>
            <w:r w:rsidR="00F7606C">
              <w:t>schedule workshops early to allow for as much time as possible to develop and implement the Practice Change Plans.</w:t>
            </w:r>
          </w:p>
          <w:p w14:paraId="055BEB87" w14:textId="326748E0" w:rsidR="00324542" w:rsidRDefault="00324542" w:rsidP="00FF12BF">
            <w:pPr>
              <w:tabs>
                <w:tab w:val="left" w:pos="3285"/>
              </w:tabs>
            </w:pPr>
          </w:p>
          <w:p w14:paraId="777ECB3E" w14:textId="46C9F785" w:rsidR="00BA61E8" w:rsidRPr="006D5256" w:rsidRDefault="00324542" w:rsidP="00FF12BF">
            <w:pPr>
              <w:tabs>
                <w:tab w:val="left" w:pos="3285"/>
              </w:tabs>
            </w:pPr>
            <w:r>
              <w:t xml:space="preserve">Funding for the EZ ORI </w:t>
            </w:r>
            <w:r w:rsidR="00AF53B7">
              <w:t xml:space="preserve">ends on March 31, 2020. It is our hope that </w:t>
            </w:r>
            <w:r>
              <w:t xml:space="preserve">PCNs </w:t>
            </w:r>
            <w:r w:rsidR="00AF53B7">
              <w:t>will</w:t>
            </w:r>
            <w:r>
              <w:t xml:space="preserve"> continue to offer workshops and support practice change for their clinics </w:t>
            </w:r>
            <w:r w:rsidR="00AF53B7">
              <w:t xml:space="preserve">beyond the end of </w:t>
            </w:r>
            <w:r w:rsidR="00102E26">
              <w:t xml:space="preserve">the grant; however, please be aware that funding to support the workshop and practice change activities </w:t>
            </w:r>
            <w:r w:rsidR="00BA61E8" w:rsidRPr="00F208DF">
              <w:t xml:space="preserve">will only be available until March 2020. </w:t>
            </w:r>
          </w:p>
        </w:tc>
      </w:tr>
    </w:tbl>
    <w:p w14:paraId="3A68C818" w14:textId="77777777" w:rsidR="00BA61E8" w:rsidRDefault="00BA61E8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4A9AB9AC" w14:textId="77777777" w:rsidTr="0025466E">
        <w:tc>
          <w:tcPr>
            <w:tcW w:w="1525" w:type="dxa"/>
          </w:tcPr>
          <w:p w14:paraId="73592C09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3EFB528D" w14:textId="16023229" w:rsidR="00914431" w:rsidRPr="00FE215F" w:rsidRDefault="00914431" w:rsidP="0025466E">
            <w:pPr>
              <w:rPr>
                <w:color w:val="00B050"/>
                <w:lang w:val="en-CA"/>
              </w:rPr>
            </w:pPr>
            <w:r w:rsidRPr="00FE215F">
              <w:rPr>
                <w:color w:val="00B050"/>
                <w:lang w:val="en-CA"/>
              </w:rPr>
              <w:t xml:space="preserve">What </w:t>
            </w:r>
            <w:r>
              <w:rPr>
                <w:color w:val="00B050"/>
                <w:lang w:val="en-CA"/>
              </w:rPr>
              <w:t>should the ORCs report back to the EZ ORI surrounding the workshop?</w:t>
            </w:r>
          </w:p>
        </w:tc>
      </w:tr>
      <w:tr w:rsidR="00914431" w:rsidRPr="006D5256" w14:paraId="6C07F617" w14:textId="77777777" w:rsidTr="0025466E">
        <w:tc>
          <w:tcPr>
            <w:tcW w:w="1525" w:type="dxa"/>
          </w:tcPr>
          <w:p w14:paraId="2CD1DC25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09F7370F" w14:textId="6274E621" w:rsidR="00914431" w:rsidRPr="006D5256" w:rsidRDefault="00C35C06" w:rsidP="0025466E">
            <w:pPr>
              <w:tabs>
                <w:tab w:val="left" w:pos="3285"/>
              </w:tabs>
            </w:pPr>
            <w:r w:rsidRPr="009C2443">
              <w:t>ORCs should report back the attendance of the workshop</w:t>
            </w:r>
            <w:r w:rsidR="00C70442">
              <w:t xml:space="preserve"> (number of clinics and </w:t>
            </w:r>
            <w:r w:rsidR="00C70442" w:rsidRPr="0085619B">
              <w:t>number of participants)</w:t>
            </w:r>
            <w:r w:rsidRPr="0085619B">
              <w:t xml:space="preserve">. </w:t>
            </w:r>
            <w:r w:rsidR="00B75862" w:rsidRPr="0085619B">
              <w:t>We would also appreciate any feedback on lessons learned or</w:t>
            </w:r>
            <w:r w:rsidR="00B75862">
              <w:t xml:space="preserve"> </w:t>
            </w:r>
            <w:r w:rsidR="004C7F93">
              <w:t>suggestions to improve the workshop.</w:t>
            </w:r>
          </w:p>
        </w:tc>
      </w:tr>
    </w:tbl>
    <w:p w14:paraId="68ABF490" w14:textId="05E1411A" w:rsidR="005C6CA5" w:rsidRDefault="005C6CA5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p w14:paraId="480FB7A7" w14:textId="77777777" w:rsidR="00C35C06" w:rsidRDefault="00C35C06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p w14:paraId="4C33567A" w14:textId="77777777" w:rsidR="004C7F93" w:rsidRDefault="004C7F93" w:rsidP="005C6CA5">
      <w:pPr>
        <w:tabs>
          <w:tab w:val="left" w:pos="3285"/>
        </w:tabs>
        <w:spacing w:after="120"/>
        <w:rPr>
          <w:b/>
          <w:bCs/>
          <w:color w:val="0070C0"/>
          <w:sz w:val="28"/>
          <w:szCs w:val="28"/>
        </w:rPr>
      </w:pPr>
    </w:p>
    <w:p w14:paraId="30C4AF27" w14:textId="39AD661E" w:rsidR="00FE215F" w:rsidRPr="00F208DF" w:rsidRDefault="00914431" w:rsidP="005C6CA5">
      <w:pPr>
        <w:tabs>
          <w:tab w:val="left" w:pos="3285"/>
        </w:tabs>
        <w:spacing w:after="120"/>
        <w:rPr>
          <w:b/>
          <w:bCs/>
          <w:color w:val="0070C0"/>
          <w:sz w:val="28"/>
          <w:szCs w:val="28"/>
        </w:rPr>
      </w:pPr>
      <w:r w:rsidRPr="00F208DF">
        <w:rPr>
          <w:b/>
          <w:bCs/>
          <w:color w:val="0070C0"/>
          <w:sz w:val="28"/>
          <w:szCs w:val="28"/>
        </w:rPr>
        <w:t xml:space="preserve">Practice Change Plans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195ADFC4" w14:textId="77777777" w:rsidTr="0025466E">
        <w:tc>
          <w:tcPr>
            <w:tcW w:w="1525" w:type="dxa"/>
          </w:tcPr>
          <w:p w14:paraId="03AC226D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7DB1641E" w14:textId="4D379719" w:rsidR="00914431" w:rsidRPr="00FE215F" w:rsidRDefault="00914431" w:rsidP="0025466E">
            <w:pPr>
              <w:rPr>
                <w:color w:val="00B050"/>
                <w:lang w:val="en-CA"/>
              </w:rPr>
            </w:pPr>
            <w:r w:rsidRPr="00FE215F">
              <w:rPr>
                <w:color w:val="00B050"/>
                <w:lang w:val="en-CA"/>
              </w:rPr>
              <w:t xml:space="preserve">What </w:t>
            </w:r>
            <w:r>
              <w:rPr>
                <w:color w:val="00B050"/>
                <w:lang w:val="en-CA"/>
              </w:rPr>
              <w:t>is the Practice Change Plan?</w:t>
            </w:r>
          </w:p>
        </w:tc>
      </w:tr>
      <w:tr w:rsidR="00914431" w:rsidRPr="006D5256" w14:paraId="2DAE9D60" w14:textId="77777777" w:rsidTr="00520048">
        <w:trPr>
          <w:trHeight w:val="2006"/>
        </w:trPr>
        <w:tc>
          <w:tcPr>
            <w:tcW w:w="1525" w:type="dxa"/>
          </w:tcPr>
          <w:p w14:paraId="4E472843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2BF22D6D" w14:textId="44EB83DA" w:rsidR="00987AF1" w:rsidRDefault="00987AF1" w:rsidP="00520048">
            <w:pPr>
              <w:pStyle w:val="ListParagraph"/>
              <w:tabs>
                <w:tab w:val="left" w:pos="3285"/>
              </w:tabs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The Practice Change Plan is a tool to help clinics and ORCs determine </w:t>
            </w:r>
            <w:r w:rsidR="00E033A8">
              <w:rPr>
                <w:lang w:val="en-CA"/>
              </w:rPr>
              <w:t xml:space="preserve">how to implement practice change to support opioid-related services in the clinic. Each clinic will have a unique plan to </w:t>
            </w:r>
            <w:r w:rsidR="00D3665D">
              <w:rPr>
                <w:lang w:val="en-CA"/>
              </w:rPr>
              <w:t>reach the goals that area important to the clinic.</w:t>
            </w:r>
          </w:p>
          <w:p w14:paraId="27583626" w14:textId="77777777" w:rsidR="00987AF1" w:rsidRDefault="00987AF1" w:rsidP="00520048">
            <w:pPr>
              <w:pStyle w:val="ListParagraph"/>
              <w:tabs>
                <w:tab w:val="left" w:pos="3285"/>
              </w:tabs>
              <w:ind w:left="0"/>
              <w:rPr>
                <w:lang w:val="en-CA"/>
              </w:rPr>
            </w:pPr>
          </w:p>
          <w:p w14:paraId="4F7412F3" w14:textId="04C57CFA" w:rsidR="00520048" w:rsidRPr="00520048" w:rsidRDefault="00520048" w:rsidP="00520048">
            <w:pPr>
              <w:pStyle w:val="ListParagraph"/>
              <w:tabs>
                <w:tab w:val="left" w:pos="3285"/>
              </w:tabs>
              <w:ind w:left="0"/>
              <w:rPr>
                <w:lang w:val="en-CA"/>
              </w:rPr>
            </w:pPr>
            <w:r w:rsidRPr="00520048">
              <w:rPr>
                <w:lang w:val="en-CA"/>
              </w:rPr>
              <w:t>The development of the practice change plan includes, the identification of:</w:t>
            </w:r>
          </w:p>
          <w:p w14:paraId="3307DFE0" w14:textId="6EA7E871" w:rsidR="00520048" w:rsidRPr="00520048" w:rsidRDefault="00520048" w:rsidP="00520048">
            <w:pPr>
              <w:pStyle w:val="ListParagraph"/>
              <w:numPr>
                <w:ilvl w:val="0"/>
                <w:numId w:val="9"/>
              </w:numPr>
              <w:tabs>
                <w:tab w:val="left" w:pos="3285"/>
              </w:tabs>
              <w:rPr>
                <w:lang w:val="en-CA"/>
              </w:rPr>
            </w:pPr>
            <w:r w:rsidRPr="00520048">
              <w:rPr>
                <w:lang w:val="en-CA"/>
              </w:rPr>
              <w:t xml:space="preserve">Goals to support </w:t>
            </w:r>
            <w:r w:rsidR="00D3665D">
              <w:rPr>
                <w:lang w:val="en-CA"/>
              </w:rPr>
              <w:t xml:space="preserve">the clinic’s </w:t>
            </w:r>
            <w:r w:rsidRPr="00520048">
              <w:rPr>
                <w:lang w:val="en-CA"/>
              </w:rPr>
              <w:t>AIM statement</w:t>
            </w:r>
          </w:p>
          <w:p w14:paraId="502467EB" w14:textId="77777777" w:rsidR="00520048" w:rsidRPr="00520048" w:rsidRDefault="00520048" w:rsidP="00520048">
            <w:pPr>
              <w:pStyle w:val="ListParagraph"/>
              <w:numPr>
                <w:ilvl w:val="0"/>
                <w:numId w:val="9"/>
              </w:numPr>
              <w:tabs>
                <w:tab w:val="left" w:pos="3285"/>
              </w:tabs>
              <w:rPr>
                <w:lang w:val="en-CA"/>
              </w:rPr>
            </w:pPr>
            <w:r w:rsidRPr="00520048">
              <w:rPr>
                <w:lang w:val="en-CA"/>
              </w:rPr>
              <w:t>Key areas of change (for example, process changes, EMR changes)</w:t>
            </w:r>
          </w:p>
          <w:p w14:paraId="1FB39085" w14:textId="147F1EA0" w:rsidR="00520048" w:rsidRPr="00520048" w:rsidRDefault="00520048" w:rsidP="00520048">
            <w:pPr>
              <w:pStyle w:val="ListParagraph"/>
              <w:numPr>
                <w:ilvl w:val="0"/>
                <w:numId w:val="9"/>
              </w:numPr>
              <w:tabs>
                <w:tab w:val="left" w:pos="3285"/>
              </w:tabs>
              <w:rPr>
                <w:lang w:val="en-CA"/>
              </w:rPr>
            </w:pPr>
            <w:r w:rsidRPr="00520048">
              <w:rPr>
                <w:lang w:val="en-CA"/>
              </w:rPr>
              <w:t xml:space="preserve">Education and training opportunities for </w:t>
            </w:r>
            <w:r w:rsidR="00D3665D">
              <w:rPr>
                <w:lang w:val="en-CA"/>
              </w:rPr>
              <w:t>the</w:t>
            </w:r>
            <w:r w:rsidRPr="00520048">
              <w:rPr>
                <w:lang w:val="en-CA"/>
              </w:rPr>
              <w:t xml:space="preserve"> </w:t>
            </w:r>
            <w:r w:rsidR="00D3665D">
              <w:rPr>
                <w:lang w:val="en-CA"/>
              </w:rPr>
              <w:t xml:space="preserve">clinic </w:t>
            </w:r>
            <w:r w:rsidRPr="00520048">
              <w:rPr>
                <w:lang w:val="en-CA"/>
              </w:rPr>
              <w:t>team</w:t>
            </w:r>
          </w:p>
          <w:p w14:paraId="1AE065D0" w14:textId="5DA3B266" w:rsidR="00075B10" w:rsidRPr="00D3665D" w:rsidRDefault="00520048" w:rsidP="00D3665D">
            <w:pPr>
              <w:pStyle w:val="ListParagraph"/>
              <w:numPr>
                <w:ilvl w:val="0"/>
                <w:numId w:val="9"/>
              </w:numPr>
              <w:tabs>
                <w:tab w:val="left" w:pos="3285"/>
              </w:tabs>
              <w:rPr>
                <w:lang w:val="en-CA"/>
              </w:rPr>
            </w:pPr>
            <w:r w:rsidRPr="00520048">
              <w:rPr>
                <w:lang w:val="en-CA"/>
              </w:rPr>
              <w:t>Measures of success</w:t>
            </w:r>
          </w:p>
        </w:tc>
      </w:tr>
    </w:tbl>
    <w:p w14:paraId="0B125894" w14:textId="68AC8454" w:rsidR="00914431" w:rsidRDefault="00914431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36DB242E" w14:textId="77777777" w:rsidTr="0025466E">
        <w:tc>
          <w:tcPr>
            <w:tcW w:w="1525" w:type="dxa"/>
          </w:tcPr>
          <w:p w14:paraId="4621633A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09E87B9E" w14:textId="14284AE3" w:rsidR="00914431" w:rsidRPr="00FE215F" w:rsidRDefault="00914431" w:rsidP="0025466E">
            <w:pPr>
              <w:rPr>
                <w:color w:val="00B050"/>
                <w:lang w:val="en-CA"/>
              </w:rPr>
            </w:pPr>
            <w:r w:rsidRPr="00914431">
              <w:rPr>
                <w:color w:val="00B050"/>
                <w:lang w:val="en-CA"/>
              </w:rPr>
              <w:t>What role does the ORC(s) have in developing the Practice Change Plan?</w:t>
            </w:r>
          </w:p>
        </w:tc>
      </w:tr>
      <w:tr w:rsidR="00914431" w:rsidRPr="006D5256" w14:paraId="204471ED" w14:textId="77777777" w:rsidTr="0025466E">
        <w:tc>
          <w:tcPr>
            <w:tcW w:w="1525" w:type="dxa"/>
          </w:tcPr>
          <w:p w14:paraId="1007D301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17367C1F" w14:textId="240DB353" w:rsidR="00914431" w:rsidRPr="006D5256" w:rsidRDefault="00FE3084" w:rsidP="0025466E">
            <w:pPr>
              <w:tabs>
                <w:tab w:val="left" w:pos="3285"/>
              </w:tabs>
            </w:pPr>
            <w:r>
              <w:rPr>
                <w:lang w:val="en-CA"/>
              </w:rPr>
              <w:t>The ORC</w:t>
            </w:r>
            <w:r w:rsidR="00771FDA">
              <w:rPr>
                <w:lang w:val="en-CA"/>
              </w:rPr>
              <w:t>(s)</w:t>
            </w:r>
            <w:r>
              <w:rPr>
                <w:lang w:val="en-CA"/>
              </w:rPr>
              <w:t xml:space="preserve"> </w:t>
            </w:r>
            <w:r w:rsidR="00771FDA">
              <w:rPr>
                <w:lang w:val="en-CA"/>
              </w:rPr>
              <w:t xml:space="preserve">are </w:t>
            </w:r>
            <w:r>
              <w:rPr>
                <w:lang w:val="en-CA"/>
              </w:rPr>
              <w:t>expert</w:t>
            </w:r>
            <w:r w:rsidR="00771FDA">
              <w:rPr>
                <w:lang w:val="en-CA"/>
              </w:rPr>
              <w:t>s</w:t>
            </w:r>
            <w:r>
              <w:rPr>
                <w:lang w:val="en-CA"/>
              </w:rPr>
              <w:t xml:space="preserve"> in the tools and resources available to increase knowledge related to opioid treatment and support practice change. They will work with the clinic to develop a Practice Change Plan by facilitating the identification of goals for the practice to enhance </w:t>
            </w:r>
            <w:r w:rsidR="00A26903">
              <w:rPr>
                <w:lang w:val="en-CA"/>
              </w:rPr>
              <w:t>opioid-related services. Based on the goals, and using</w:t>
            </w:r>
            <w:r w:rsidR="004A7FC5">
              <w:rPr>
                <w:lang w:val="en-CA"/>
              </w:rPr>
              <w:t xml:space="preserve"> areas identified by the process map</w:t>
            </w:r>
            <w:r w:rsidR="00313828">
              <w:rPr>
                <w:lang w:val="en-CA"/>
              </w:rPr>
              <w:t>,</w:t>
            </w:r>
            <w:r w:rsidR="00A26903">
              <w:rPr>
                <w:lang w:val="en-CA"/>
              </w:rPr>
              <w:t xml:space="preserve"> the</w:t>
            </w:r>
            <w:r w:rsidR="004A7FC5">
              <w:rPr>
                <w:lang w:val="en-CA"/>
              </w:rPr>
              <w:t xml:space="preserve"> clinic</w:t>
            </w:r>
            <w:r w:rsidR="00A26903">
              <w:rPr>
                <w:lang w:val="en-CA"/>
              </w:rPr>
              <w:t xml:space="preserve"> </w:t>
            </w:r>
            <w:r w:rsidR="004A7FC5">
              <w:rPr>
                <w:lang w:val="en-CA"/>
              </w:rPr>
              <w:t xml:space="preserve">and </w:t>
            </w:r>
            <w:r w:rsidR="00A26903">
              <w:rPr>
                <w:lang w:val="en-CA"/>
              </w:rPr>
              <w:t xml:space="preserve">ORC(s) will </w:t>
            </w:r>
            <w:r w:rsidR="004A7FC5">
              <w:rPr>
                <w:lang w:val="en-CA"/>
              </w:rPr>
              <w:t>identify key areas for change.</w:t>
            </w:r>
            <w:r w:rsidR="00184BF1">
              <w:rPr>
                <w:lang w:val="en-CA"/>
              </w:rPr>
              <w:t xml:space="preserve"> The ORC(s) can also help identify education and training opportunities for clinic team members. </w:t>
            </w:r>
            <w:r w:rsidR="00D14EEF">
              <w:rPr>
                <w:lang w:val="en-CA"/>
              </w:rPr>
              <w:t>Finally, the ORC will assist the clinic identifying measures for clinic progress and success.</w:t>
            </w:r>
          </w:p>
        </w:tc>
      </w:tr>
    </w:tbl>
    <w:p w14:paraId="3D5D7A16" w14:textId="77777777" w:rsidR="00914431" w:rsidRDefault="00914431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484D419E" w14:textId="77777777" w:rsidTr="0025466E">
        <w:tc>
          <w:tcPr>
            <w:tcW w:w="1525" w:type="dxa"/>
          </w:tcPr>
          <w:p w14:paraId="3B221EC6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2703652D" w14:textId="31965151" w:rsidR="00914431" w:rsidRPr="00FE215F" w:rsidRDefault="00914431" w:rsidP="0025466E">
            <w:pPr>
              <w:rPr>
                <w:color w:val="00B050"/>
                <w:lang w:val="en-CA"/>
              </w:rPr>
            </w:pPr>
            <w:r w:rsidRPr="00914431">
              <w:rPr>
                <w:color w:val="00B050"/>
                <w:lang w:val="en-CA"/>
              </w:rPr>
              <w:t>Would the EZ ORI like a copy of the Practice Change Plan?</w:t>
            </w:r>
          </w:p>
        </w:tc>
      </w:tr>
      <w:tr w:rsidR="00914431" w:rsidRPr="006D5256" w14:paraId="6651850E" w14:textId="77777777" w:rsidTr="0025466E">
        <w:tc>
          <w:tcPr>
            <w:tcW w:w="1525" w:type="dxa"/>
          </w:tcPr>
          <w:p w14:paraId="56DB352C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3293AC9B" w14:textId="0CFF5381" w:rsidR="00914431" w:rsidRPr="006D5256" w:rsidRDefault="00313828" w:rsidP="0025466E">
            <w:pPr>
              <w:tabs>
                <w:tab w:val="left" w:pos="3285"/>
              </w:tabs>
            </w:pPr>
            <w:r>
              <w:t xml:space="preserve">Yes. Once the clinic and ORC(s) have develop </w:t>
            </w:r>
            <w:r w:rsidR="000A6BC3">
              <w:t>a version of the Practice Change Plan that they are ready to start implementing, please share the plan with the EZ ORI.</w:t>
            </w:r>
          </w:p>
        </w:tc>
      </w:tr>
    </w:tbl>
    <w:p w14:paraId="088F90D0" w14:textId="06B3223B" w:rsidR="00914431" w:rsidRDefault="00914431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p w14:paraId="2134DA6C" w14:textId="24EBAEC3" w:rsidR="00914431" w:rsidRPr="00F208DF" w:rsidRDefault="00914431" w:rsidP="00130D1A">
      <w:pPr>
        <w:tabs>
          <w:tab w:val="left" w:pos="3285"/>
        </w:tabs>
        <w:rPr>
          <w:b/>
          <w:bCs/>
          <w:color w:val="0070C0"/>
          <w:sz w:val="28"/>
          <w:szCs w:val="28"/>
        </w:rPr>
      </w:pPr>
      <w:r w:rsidRPr="00F208DF">
        <w:rPr>
          <w:b/>
          <w:bCs/>
          <w:color w:val="0070C0"/>
          <w:sz w:val="28"/>
          <w:szCs w:val="28"/>
        </w:rPr>
        <w:t>Implementing the Practice Change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4C36682B" w14:textId="77777777" w:rsidTr="0025466E">
        <w:tc>
          <w:tcPr>
            <w:tcW w:w="1525" w:type="dxa"/>
          </w:tcPr>
          <w:p w14:paraId="2147E93F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5ECBD1A4" w14:textId="49359056" w:rsidR="00914431" w:rsidRPr="00FE215F" w:rsidRDefault="00914431" w:rsidP="0025466E">
            <w:pPr>
              <w:rPr>
                <w:color w:val="00B050"/>
                <w:lang w:val="en-CA"/>
              </w:rPr>
            </w:pPr>
            <w:r w:rsidRPr="00914431">
              <w:rPr>
                <w:color w:val="00B050"/>
                <w:lang w:val="en-CA"/>
              </w:rPr>
              <w:t>What role does the ORC(s) have in implementing Practice Change Plan?</w:t>
            </w:r>
          </w:p>
        </w:tc>
      </w:tr>
      <w:tr w:rsidR="00914431" w:rsidRPr="006D5256" w14:paraId="286849D8" w14:textId="77777777" w:rsidTr="0025466E">
        <w:tc>
          <w:tcPr>
            <w:tcW w:w="1525" w:type="dxa"/>
          </w:tcPr>
          <w:p w14:paraId="5E4704D9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lastRenderedPageBreak/>
              <w:t>Answer</w:t>
            </w:r>
          </w:p>
        </w:tc>
        <w:tc>
          <w:tcPr>
            <w:tcW w:w="7825" w:type="dxa"/>
          </w:tcPr>
          <w:p w14:paraId="6591E0C1" w14:textId="4B967E60" w:rsidR="00914431" w:rsidRPr="006D5256" w:rsidRDefault="000A6BC3" w:rsidP="0025466E">
            <w:pPr>
              <w:tabs>
                <w:tab w:val="left" w:pos="3285"/>
              </w:tabs>
            </w:pPr>
            <w:r>
              <w:t>The ORC(s) will support the clinics to implement the Practice Change Plan. They</w:t>
            </w:r>
            <w:r w:rsidR="008F7227">
              <w:t xml:space="preserve"> should not</w:t>
            </w:r>
            <w:r>
              <w:t xml:space="preserve"> implement the plan themselves, but rather be available as a resource for the clinic</w:t>
            </w:r>
            <w:r w:rsidR="008F7227">
              <w:t xml:space="preserve"> and support them to make sustainable change with their own resources</w:t>
            </w:r>
            <w:r>
              <w:t>. This may include regular</w:t>
            </w:r>
            <w:r w:rsidR="001001DE">
              <w:t xml:space="preserve"> check in with the clinics to gauge progress and provide information or guidance as needed.</w:t>
            </w:r>
          </w:p>
        </w:tc>
      </w:tr>
    </w:tbl>
    <w:p w14:paraId="009C47EF" w14:textId="06804E2E" w:rsidR="00914431" w:rsidRDefault="00914431" w:rsidP="0091443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14431" w:rsidRPr="006D5256" w14:paraId="0AC49D0B" w14:textId="77777777" w:rsidTr="0025466E">
        <w:tc>
          <w:tcPr>
            <w:tcW w:w="1525" w:type="dxa"/>
          </w:tcPr>
          <w:p w14:paraId="53D3423F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48A55BEE" w14:textId="4F15534E" w:rsidR="00914431" w:rsidRPr="00914431" w:rsidRDefault="00914431" w:rsidP="0025466E">
            <w:pPr>
              <w:rPr>
                <w:rFonts w:ascii="Century Gothic" w:eastAsia="Times New Roman" w:hAnsi="Century Gothic"/>
                <w:sz w:val="20"/>
                <w:szCs w:val="20"/>
                <w:lang w:val="en-CA"/>
              </w:rPr>
            </w:pPr>
            <w:r w:rsidRPr="00914431">
              <w:rPr>
                <w:color w:val="00B050"/>
                <w:lang w:val="en-CA"/>
              </w:rPr>
              <w:t>What funding is available to support practice change?</w:t>
            </w:r>
            <w:r w:rsidRPr="00914431">
              <w:rPr>
                <w:rFonts w:ascii="Century Gothic" w:eastAsia="Times New Roman" w:hAnsi="Century Gothic"/>
                <w:sz w:val="20"/>
                <w:szCs w:val="20"/>
                <w:lang w:val="en-CA"/>
              </w:rPr>
              <w:t xml:space="preserve"> </w:t>
            </w:r>
          </w:p>
        </w:tc>
      </w:tr>
      <w:tr w:rsidR="00914431" w:rsidRPr="006D5256" w14:paraId="504FFE77" w14:textId="77777777" w:rsidTr="0025466E">
        <w:tc>
          <w:tcPr>
            <w:tcW w:w="1525" w:type="dxa"/>
          </w:tcPr>
          <w:p w14:paraId="33C971D5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5220D31E" w14:textId="3E702638" w:rsidR="00405EF7" w:rsidRPr="006D5256" w:rsidRDefault="00405EF7" w:rsidP="00B8082E">
            <w:pPr>
              <w:tabs>
                <w:tab w:val="left" w:pos="3285"/>
              </w:tabs>
            </w:pPr>
            <w:r w:rsidRPr="007D5D11">
              <w:t>Up to $300.00/clinic (once per clinic) is available for speakers, program content, room rental, catering, photocopying, etc.</w:t>
            </w:r>
            <w:r w:rsidR="003366FE">
              <w:t>to support practice change.</w:t>
            </w:r>
            <w:r w:rsidRPr="007D5D11">
              <w:t xml:space="preserve"> </w:t>
            </w:r>
            <w:r w:rsidR="003366FE">
              <w:t xml:space="preserve">Information about how to submit workshop expenses for reimbursement can be found in the </w:t>
            </w:r>
            <w:hyperlink r:id="rId11" w:history="1">
              <w:r w:rsidR="003366FE" w:rsidRPr="00C52ACC">
                <w:rPr>
                  <w:rStyle w:val="Hyperlink"/>
                </w:rPr>
                <w:t>EZ ORI Funding for CTBA Activities</w:t>
              </w:r>
            </w:hyperlink>
            <w:r w:rsidR="003366FE">
              <w:t xml:space="preserve"> document (accessible to ORCs).</w:t>
            </w:r>
            <w:r w:rsidR="00B8082E">
              <w:t xml:space="preserve"> </w:t>
            </w:r>
            <w:r w:rsidR="00EF64D7">
              <w:t>F</w:t>
            </w:r>
            <w:r w:rsidRPr="007D5D11">
              <w:t xml:space="preserve">unding </w:t>
            </w:r>
            <w:r w:rsidR="00EF64D7">
              <w:t>for physicians or</w:t>
            </w:r>
            <w:r w:rsidRPr="007D5D11">
              <w:t xml:space="preserve"> Individuals with </w:t>
            </w:r>
            <w:r w:rsidR="00EF64D7">
              <w:t>Li</w:t>
            </w:r>
            <w:r w:rsidRPr="007D5D11">
              <w:t xml:space="preserve">ved </w:t>
            </w:r>
            <w:r w:rsidR="00EF64D7">
              <w:t>E</w:t>
            </w:r>
            <w:r w:rsidRPr="007D5D11">
              <w:t>xperience</w:t>
            </w:r>
            <w:r w:rsidR="00EF64D7">
              <w:t xml:space="preserve"> to participate in </w:t>
            </w:r>
            <w:r w:rsidR="00B8082E">
              <w:t>practice change activities may be provided by PCNs using ORC funding</w:t>
            </w:r>
            <w:r w:rsidRPr="007D5D11">
              <w:t>.</w:t>
            </w:r>
          </w:p>
        </w:tc>
      </w:tr>
    </w:tbl>
    <w:p w14:paraId="616887A8" w14:textId="77777777" w:rsidR="00277833" w:rsidRDefault="00277833" w:rsidP="007D5D11">
      <w:pPr>
        <w:tabs>
          <w:tab w:val="left" w:pos="3285"/>
        </w:tabs>
        <w:spacing w:after="0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405EF7" w:rsidRPr="006D5256" w14:paraId="446D272C" w14:textId="77777777" w:rsidTr="0025466E">
        <w:tc>
          <w:tcPr>
            <w:tcW w:w="1525" w:type="dxa"/>
          </w:tcPr>
          <w:p w14:paraId="1CDDAB5B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Question</w:t>
            </w:r>
          </w:p>
        </w:tc>
        <w:tc>
          <w:tcPr>
            <w:tcW w:w="7825" w:type="dxa"/>
          </w:tcPr>
          <w:p w14:paraId="7F0380B2" w14:textId="656ECBE6" w:rsidR="00914431" w:rsidRPr="00914431" w:rsidRDefault="00914431" w:rsidP="0025466E">
            <w:pPr>
              <w:rPr>
                <w:rFonts w:ascii="Century Gothic" w:eastAsia="Times New Roman" w:hAnsi="Century Gothic"/>
                <w:sz w:val="20"/>
                <w:szCs w:val="20"/>
                <w:lang w:val="en-CA"/>
              </w:rPr>
            </w:pPr>
            <w:r w:rsidRPr="00914431">
              <w:rPr>
                <w:color w:val="00B050"/>
                <w:lang w:val="en-CA"/>
              </w:rPr>
              <w:t>How are we measuring practice change?</w:t>
            </w:r>
          </w:p>
        </w:tc>
      </w:tr>
      <w:tr w:rsidR="00405EF7" w:rsidRPr="006D5256" w14:paraId="4DF5266A" w14:textId="77777777" w:rsidTr="0025466E">
        <w:tc>
          <w:tcPr>
            <w:tcW w:w="1525" w:type="dxa"/>
          </w:tcPr>
          <w:p w14:paraId="2A849C3A" w14:textId="77777777" w:rsidR="00914431" w:rsidRPr="006D5256" w:rsidRDefault="00914431" w:rsidP="0025466E">
            <w:pPr>
              <w:tabs>
                <w:tab w:val="left" w:pos="3285"/>
              </w:tabs>
              <w:rPr>
                <w:b/>
                <w:bCs/>
              </w:rPr>
            </w:pPr>
            <w:r w:rsidRPr="006D5256">
              <w:rPr>
                <w:b/>
                <w:bCs/>
              </w:rPr>
              <w:t>Answer</w:t>
            </w:r>
          </w:p>
        </w:tc>
        <w:tc>
          <w:tcPr>
            <w:tcW w:w="7825" w:type="dxa"/>
          </w:tcPr>
          <w:p w14:paraId="3C6A1D5C" w14:textId="408C0785" w:rsidR="00DD1A4B" w:rsidRPr="006D5256" w:rsidRDefault="00F57A6A" w:rsidP="0025466E">
            <w:pPr>
              <w:tabs>
                <w:tab w:val="left" w:pos="3285"/>
              </w:tabs>
            </w:pPr>
            <w:r>
              <w:t>Practice change measures will be clinic specific as identified in the Practice Change Plan.</w:t>
            </w:r>
          </w:p>
        </w:tc>
      </w:tr>
    </w:tbl>
    <w:p w14:paraId="053D7821" w14:textId="7ADA6543" w:rsidR="00D96415" w:rsidRPr="00D96415" w:rsidRDefault="00D96415" w:rsidP="00D96415">
      <w:pPr>
        <w:tabs>
          <w:tab w:val="left" w:pos="7080"/>
        </w:tabs>
      </w:pPr>
    </w:p>
    <w:sectPr w:rsidR="00D96415" w:rsidRPr="00D96415" w:rsidSect="00F208D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C606" w14:textId="77777777" w:rsidR="00702571" w:rsidRDefault="00702571" w:rsidP="00702571">
      <w:pPr>
        <w:spacing w:after="0" w:line="240" w:lineRule="auto"/>
      </w:pPr>
      <w:r>
        <w:separator/>
      </w:r>
    </w:p>
  </w:endnote>
  <w:endnote w:type="continuationSeparator" w:id="0">
    <w:p w14:paraId="2244F732" w14:textId="77777777" w:rsidR="00702571" w:rsidRDefault="00702571" w:rsidP="0070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3772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60F69C" w14:textId="6AA4F41C" w:rsidR="00D13138" w:rsidRPr="007D5D11" w:rsidRDefault="007D5D11" w:rsidP="007D5D11">
            <w:pPr>
              <w:pStyle w:val="Footer"/>
              <w:rPr>
                <w:lang w:val="en-CA"/>
              </w:rPr>
            </w:pPr>
            <w:r>
              <w:rPr>
                <w:lang w:val="en-CA"/>
              </w:rPr>
              <w:t>EZ ORI Collaborative Team-Based Approach FAQs</w:t>
            </w:r>
            <w:r>
              <w:rPr>
                <w:lang w:val="en-CA"/>
              </w:rPr>
              <w:tab/>
            </w:r>
            <w:r>
              <w:rPr>
                <w:lang w:val="en-CA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6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69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79DB5" w14:textId="77777777" w:rsidR="00702571" w:rsidRDefault="00702571" w:rsidP="00702571">
      <w:pPr>
        <w:spacing w:after="0" w:line="240" w:lineRule="auto"/>
      </w:pPr>
      <w:r>
        <w:separator/>
      </w:r>
    </w:p>
  </w:footnote>
  <w:footnote w:type="continuationSeparator" w:id="0">
    <w:p w14:paraId="392D51BE" w14:textId="77777777" w:rsidR="00702571" w:rsidRDefault="00702571" w:rsidP="0070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D0340" w14:textId="77777777" w:rsidR="00702571" w:rsidRDefault="00702571" w:rsidP="0070257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9AA33" wp14:editId="759E6396">
          <wp:simplePos x="0" y="0"/>
          <wp:positionH relativeFrom="margin">
            <wp:posOffset>4927600</wp:posOffset>
          </wp:positionH>
          <wp:positionV relativeFrom="paragraph">
            <wp:posOffset>-296545</wp:posOffset>
          </wp:positionV>
          <wp:extent cx="1035050" cy="65191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651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74C"/>
    <w:multiLevelType w:val="hybridMultilevel"/>
    <w:tmpl w:val="12B06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E0AB0"/>
    <w:multiLevelType w:val="hybridMultilevel"/>
    <w:tmpl w:val="DC7E78AC"/>
    <w:lvl w:ilvl="0" w:tplc="EF06381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A79"/>
    <w:multiLevelType w:val="hybridMultilevel"/>
    <w:tmpl w:val="D44275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A305B"/>
    <w:multiLevelType w:val="hybridMultilevel"/>
    <w:tmpl w:val="8ED60F48"/>
    <w:lvl w:ilvl="0" w:tplc="BD9EF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60A6C"/>
    <w:multiLevelType w:val="hybridMultilevel"/>
    <w:tmpl w:val="FF16960A"/>
    <w:lvl w:ilvl="0" w:tplc="A9E2C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A4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E1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07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A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8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05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8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4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BA5B78"/>
    <w:multiLevelType w:val="hybridMultilevel"/>
    <w:tmpl w:val="17AC65DA"/>
    <w:lvl w:ilvl="0" w:tplc="C950B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35E52"/>
    <w:multiLevelType w:val="hybridMultilevel"/>
    <w:tmpl w:val="228CB9DE"/>
    <w:lvl w:ilvl="0" w:tplc="0ABAB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31715"/>
    <w:multiLevelType w:val="hybridMultilevel"/>
    <w:tmpl w:val="90CE979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84A056A"/>
    <w:multiLevelType w:val="hybridMultilevel"/>
    <w:tmpl w:val="8068A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1"/>
    <w:rsid w:val="00075B10"/>
    <w:rsid w:val="000A6BC3"/>
    <w:rsid w:val="001001DE"/>
    <w:rsid w:val="00102E26"/>
    <w:rsid w:val="00130D1A"/>
    <w:rsid w:val="00184BF1"/>
    <w:rsid w:val="001A6E6A"/>
    <w:rsid w:val="001B7339"/>
    <w:rsid w:val="001C1541"/>
    <w:rsid w:val="001F3BB0"/>
    <w:rsid w:val="00277833"/>
    <w:rsid w:val="00313828"/>
    <w:rsid w:val="00324542"/>
    <w:rsid w:val="003366FE"/>
    <w:rsid w:val="003A4EB0"/>
    <w:rsid w:val="00405EF7"/>
    <w:rsid w:val="004A699F"/>
    <w:rsid w:val="004A7FC5"/>
    <w:rsid w:val="004C7F93"/>
    <w:rsid w:val="004F011A"/>
    <w:rsid w:val="00520048"/>
    <w:rsid w:val="00520FEB"/>
    <w:rsid w:val="005741AE"/>
    <w:rsid w:val="005B6BD0"/>
    <w:rsid w:val="005C6CA5"/>
    <w:rsid w:val="005D615C"/>
    <w:rsid w:val="005F1E65"/>
    <w:rsid w:val="0063171F"/>
    <w:rsid w:val="00691B6A"/>
    <w:rsid w:val="006D5256"/>
    <w:rsid w:val="00702571"/>
    <w:rsid w:val="00734E03"/>
    <w:rsid w:val="00771FDA"/>
    <w:rsid w:val="007B7788"/>
    <w:rsid w:val="007D5D11"/>
    <w:rsid w:val="007E67D3"/>
    <w:rsid w:val="0081176C"/>
    <w:rsid w:val="00826C87"/>
    <w:rsid w:val="0085619B"/>
    <w:rsid w:val="00870A56"/>
    <w:rsid w:val="008C2F8A"/>
    <w:rsid w:val="008C4BC4"/>
    <w:rsid w:val="008F7227"/>
    <w:rsid w:val="00914431"/>
    <w:rsid w:val="00924D04"/>
    <w:rsid w:val="00940A59"/>
    <w:rsid w:val="00987AF1"/>
    <w:rsid w:val="009A1393"/>
    <w:rsid w:val="009C2443"/>
    <w:rsid w:val="009C5C7E"/>
    <w:rsid w:val="00A26903"/>
    <w:rsid w:val="00A538E6"/>
    <w:rsid w:val="00A962D3"/>
    <w:rsid w:val="00AE4429"/>
    <w:rsid w:val="00AF53B7"/>
    <w:rsid w:val="00B15BD7"/>
    <w:rsid w:val="00B75862"/>
    <w:rsid w:val="00B8082E"/>
    <w:rsid w:val="00B9427E"/>
    <w:rsid w:val="00BA61E8"/>
    <w:rsid w:val="00BD2C17"/>
    <w:rsid w:val="00C12B7A"/>
    <w:rsid w:val="00C35C06"/>
    <w:rsid w:val="00C52ACC"/>
    <w:rsid w:val="00C70442"/>
    <w:rsid w:val="00C967DB"/>
    <w:rsid w:val="00CE47A1"/>
    <w:rsid w:val="00D05F70"/>
    <w:rsid w:val="00D10705"/>
    <w:rsid w:val="00D13138"/>
    <w:rsid w:val="00D14EEF"/>
    <w:rsid w:val="00D3665D"/>
    <w:rsid w:val="00D96415"/>
    <w:rsid w:val="00DB0425"/>
    <w:rsid w:val="00DB4BFD"/>
    <w:rsid w:val="00DB6310"/>
    <w:rsid w:val="00DD1A4B"/>
    <w:rsid w:val="00E033A8"/>
    <w:rsid w:val="00E95730"/>
    <w:rsid w:val="00EA0071"/>
    <w:rsid w:val="00EF64D7"/>
    <w:rsid w:val="00F208DF"/>
    <w:rsid w:val="00F579B8"/>
    <w:rsid w:val="00F57A6A"/>
    <w:rsid w:val="00F74FB3"/>
    <w:rsid w:val="00F7606C"/>
    <w:rsid w:val="00FA0696"/>
    <w:rsid w:val="00FB0275"/>
    <w:rsid w:val="00FE215F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E5E919"/>
  <w15:chartTrackingRefBased/>
  <w15:docId w15:val="{0F4DF327-DBF6-4680-A1DF-EA2EE2C2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71"/>
  </w:style>
  <w:style w:type="paragraph" w:styleId="Footer">
    <w:name w:val="footer"/>
    <w:basedOn w:val="Normal"/>
    <w:link w:val="FooterChar"/>
    <w:uiPriority w:val="99"/>
    <w:unhideWhenUsed/>
    <w:rsid w:val="0070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71"/>
  </w:style>
  <w:style w:type="table" w:styleId="TableGrid">
    <w:name w:val="Table Grid"/>
    <w:basedOn w:val="TableNormal"/>
    <w:uiPriority w:val="39"/>
    <w:rsid w:val="0070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4EB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E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15F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26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ori@ewpc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wpcn.sharepoint.com/:b:/r/sites/ezopioid/External%20Share/CTBA%20%26%20ORCs/EZ%20ORI%20Funding%20for%20CTBA%20Activities.pdf?csf=1&amp;e=dfB7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zori@ewpc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wpcn.sharepoint.com/:b:/r/sites/ezopioid/External%20Share/CTBA%20%26%20ORCs/EZ%20ORI%20Funding%20for%20CTBA%20Activities.pdf?csf=1&amp;e=dfB78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8AF994E3</Template>
  <TotalTime>0</TotalTime>
  <Pages>4</Pages>
  <Words>1190</Words>
  <Characters>6788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Mackey</dc:creator>
  <cp:keywords/>
  <dc:description/>
  <cp:lastModifiedBy>Tara Seibert</cp:lastModifiedBy>
  <cp:revision>2</cp:revision>
  <dcterms:created xsi:type="dcterms:W3CDTF">2019-08-28T17:45:00Z</dcterms:created>
  <dcterms:modified xsi:type="dcterms:W3CDTF">2019-08-28T17:45:00Z</dcterms:modified>
</cp:coreProperties>
</file>